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4203" w14:textId="77777777" w:rsidR="00F82724" w:rsidRPr="00F82724" w:rsidRDefault="00F82724" w:rsidP="00F82724">
      <w:pPr>
        <w:rPr>
          <w:lang w:val="en-US"/>
        </w:rPr>
      </w:pPr>
      <w:r w:rsidRPr="00F82724">
        <w:rPr>
          <w:b/>
          <w:bCs/>
          <w:lang w:val="en-US"/>
        </w:rPr>
        <w:t>Supplementary Figure 1. </w:t>
      </w:r>
      <w:r w:rsidRPr="00F82724">
        <w:rPr>
          <w:lang w:val="en-US"/>
        </w:rPr>
        <w:t>Sofular cf. </w:t>
      </w:r>
      <w:r w:rsidRPr="00F82724">
        <w:rPr>
          <w:i/>
          <w:iCs/>
          <w:lang w:val="en-US"/>
        </w:rPr>
        <w:t>Cremohipparion </w:t>
      </w:r>
      <w:r w:rsidRPr="00F82724">
        <w:rPr>
          <w:lang w:val="en-US"/>
        </w:rPr>
        <w:t>sp. mandibles in occlusal view: A) 50-SOF-2/29; B) 50-SOF-2/50; C) 50-SOF-2/342. Scale bar 5 cm.</w:t>
      </w:r>
    </w:p>
    <w:p w14:paraId="2BE8635A" w14:textId="64623FCC" w:rsidR="00F82724" w:rsidRPr="00F82724" w:rsidRDefault="00F82724" w:rsidP="00F82724">
      <w:pPr>
        <w:rPr>
          <w:lang w:val="en-US"/>
        </w:rPr>
      </w:pPr>
      <w:r w:rsidRPr="00F82724">
        <w:rPr>
          <w:lang w:val="en-US"/>
        </w:rPr>
        <w:t> </w:t>
      </w:r>
      <w:r w:rsidRPr="00F82724">
        <w:rPr>
          <w:b/>
          <w:bCs/>
          <w:lang w:val="en-US"/>
        </w:rPr>
        <w:t>Supplementary Figure 2. </w:t>
      </w:r>
      <w:r w:rsidRPr="00F82724">
        <w:rPr>
          <w:lang w:val="en-US"/>
        </w:rPr>
        <w:t>Loadings distribution for the Principal Component Analyses on crania shown in Figure 7. A) Loadings distribution for the Principal Component Analyses shown in Figure 7A. B) Loadings distribution for the Principal Component Analyses shown in Figure 7A.</w:t>
      </w:r>
    </w:p>
    <w:p w14:paraId="43A75694" w14:textId="28365C23" w:rsidR="00F82724" w:rsidRPr="00F82724" w:rsidRDefault="00F82724" w:rsidP="00F82724">
      <w:pPr>
        <w:rPr>
          <w:lang w:val="en-US"/>
        </w:rPr>
      </w:pPr>
      <w:r w:rsidRPr="00F82724">
        <w:rPr>
          <w:b/>
          <w:bCs/>
          <w:lang w:val="en-US"/>
        </w:rPr>
        <w:t> Supplementary Figure 3. </w:t>
      </w:r>
      <w:r w:rsidRPr="00F82724">
        <w:rPr>
          <w:lang w:val="en-US"/>
        </w:rPr>
        <w:t>Results of the principal component analysis (PCA) on third metacarpals. A) complete dataset. B) </w:t>
      </w:r>
      <w:r w:rsidRPr="00F82724">
        <w:rPr>
          <w:i/>
          <w:iCs/>
          <w:lang w:val="en-US"/>
        </w:rPr>
        <w:t>Cormohipparion</w:t>
      </w:r>
      <w:r w:rsidRPr="00F82724">
        <w:rPr>
          <w:lang w:val="en-US"/>
        </w:rPr>
        <w:t>. C) </w:t>
      </w:r>
      <w:r w:rsidRPr="00F82724">
        <w:rPr>
          <w:i/>
          <w:iCs/>
          <w:lang w:val="en-US"/>
        </w:rPr>
        <w:t>Hippotherium</w:t>
      </w:r>
      <w:r w:rsidRPr="00F82724">
        <w:rPr>
          <w:lang w:val="en-US"/>
        </w:rPr>
        <w:t>. D) </w:t>
      </w:r>
      <w:r w:rsidRPr="00F82724">
        <w:rPr>
          <w:i/>
          <w:iCs/>
          <w:lang w:val="en-US"/>
        </w:rPr>
        <w:t>Hipparion</w:t>
      </w:r>
      <w:r w:rsidRPr="00F82724">
        <w:rPr>
          <w:lang w:val="en-US"/>
        </w:rPr>
        <w:t> s.s. E) </w:t>
      </w:r>
      <w:r w:rsidRPr="00F82724">
        <w:rPr>
          <w:i/>
          <w:iCs/>
          <w:lang w:val="en-US"/>
        </w:rPr>
        <w:t>Cremohipparion</w:t>
      </w:r>
      <w:r w:rsidRPr="00F82724">
        <w:rPr>
          <w:lang w:val="en-US"/>
        </w:rPr>
        <w:t>. F) </w:t>
      </w:r>
      <w:r w:rsidRPr="00F82724">
        <w:rPr>
          <w:i/>
          <w:iCs/>
          <w:lang w:val="en-US"/>
        </w:rPr>
        <w:t>Plesiohipparion</w:t>
      </w:r>
      <w:r w:rsidRPr="00F82724">
        <w:rPr>
          <w:lang w:val="en-US"/>
        </w:rPr>
        <w:t>.</w:t>
      </w:r>
    </w:p>
    <w:p w14:paraId="7F3AC0C9" w14:textId="48797B30" w:rsidR="00F82724" w:rsidRPr="00F82724" w:rsidRDefault="00F82724" w:rsidP="00F82724">
      <w:pPr>
        <w:rPr>
          <w:lang w:val="en-US"/>
        </w:rPr>
      </w:pPr>
      <w:r w:rsidRPr="00F82724">
        <w:rPr>
          <w:lang w:val="en-US"/>
        </w:rPr>
        <w:t> </w:t>
      </w:r>
      <w:r w:rsidRPr="00F82724">
        <w:rPr>
          <w:b/>
          <w:bCs/>
          <w:lang w:val="en-US"/>
        </w:rPr>
        <w:t>Supplementary Figure 4. </w:t>
      </w:r>
      <w:r w:rsidRPr="00F82724">
        <w:rPr>
          <w:lang w:val="en-US"/>
        </w:rPr>
        <w:t>Loadings distribution for the Principal Component Analyses on third metacarpals and third metatarsals shown in Figures 8-9 and Supplementary Figures 3 and 5. A) Loadings distribution for the Principal Component Analyses shown in Figure 8 and in Supplementary Figures 3. B) Loadings distribution for the Principal Component Analyses shown in Figure 9 and Supplementary Figures 5.</w:t>
      </w:r>
    </w:p>
    <w:p w14:paraId="62C1FBE7" w14:textId="7777BD6C" w:rsidR="00F82724" w:rsidRPr="0036066A" w:rsidRDefault="00F82724" w:rsidP="00F82724">
      <w:pPr>
        <w:rPr>
          <w:lang w:val="en-US"/>
        </w:rPr>
      </w:pPr>
      <w:r w:rsidRPr="00F82724">
        <w:rPr>
          <w:b/>
          <w:bCs/>
          <w:lang w:val="en-US"/>
        </w:rPr>
        <w:t> Supplementary Figure 5. </w:t>
      </w:r>
      <w:r w:rsidRPr="00F82724">
        <w:rPr>
          <w:lang w:val="en-US"/>
        </w:rPr>
        <w:t>Results of the principal component analysis (PCA) on third metatarsals. A) complete dataset. B) </w:t>
      </w:r>
      <w:r w:rsidRPr="00F82724">
        <w:rPr>
          <w:i/>
          <w:iCs/>
          <w:lang w:val="en-US"/>
        </w:rPr>
        <w:t>Cormohipparion</w:t>
      </w:r>
      <w:r w:rsidRPr="00F82724">
        <w:rPr>
          <w:lang w:val="en-US"/>
        </w:rPr>
        <w:t>. C) </w:t>
      </w:r>
      <w:r w:rsidRPr="00F82724">
        <w:rPr>
          <w:i/>
          <w:iCs/>
          <w:lang w:val="en-US"/>
        </w:rPr>
        <w:t>Hippotherium</w:t>
      </w:r>
      <w:r w:rsidRPr="00F82724">
        <w:rPr>
          <w:lang w:val="en-US"/>
        </w:rPr>
        <w:t>. D) </w:t>
      </w:r>
      <w:r w:rsidRPr="00F82724">
        <w:rPr>
          <w:i/>
          <w:iCs/>
          <w:lang w:val="en-US"/>
        </w:rPr>
        <w:t>Hipparion</w:t>
      </w:r>
      <w:r w:rsidRPr="00F82724">
        <w:rPr>
          <w:lang w:val="en-US"/>
        </w:rPr>
        <w:t> s.s. E) </w:t>
      </w:r>
      <w:r w:rsidRPr="00F82724">
        <w:rPr>
          <w:i/>
          <w:iCs/>
          <w:lang w:val="en-US"/>
        </w:rPr>
        <w:t>Cremohipparion</w:t>
      </w:r>
      <w:r w:rsidRPr="00F82724">
        <w:rPr>
          <w:lang w:val="en-US"/>
        </w:rPr>
        <w:t>. F) </w:t>
      </w:r>
      <w:r w:rsidRPr="00F82724">
        <w:rPr>
          <w:i/>
          <w:iCs/>
          <w:lang w:val="en-US"/>
        </w:rPr>
        <w:t>Plesiohipparion</w:t>
      </w:r>
      <w:r w:rsidRPr="00F82724">
        <w:rPr>
          <w:lang w:val="en-US"/>
        </w:rPr>
        <w:t>.</w:t>
      </w:r>
    </w:p>
    <w:p w14:paraId="22714F22" w14:textId="77777777" w:rsidR="0036066A" w:rsidRPr="0036066A" w:rsidRDefault="0036066A" w:rsidP="0036066A">
      <w:pPr>
        <w:rPr>
          <w:lang w:val="en-US"/>
        </w:rPr>
      </w:pPr>
      <w:r w:rsidRPr="0036066A">
        <w:rPr>
          <w:b/>
          <w:bCs/>
          <w:lang w:val="en-US"/>
        </w:rPr>
        <w:t xml:space="preserve">Supplementary Table 1. </w:t>
      </w:r>
      <w:r w:rsidRPr="0036066A">
        <w:rPr>
          <w:lang w:val="en-US"/>
        </w:rPr>
        <w:t xml:space="preserve">Complete database with measurements for the Sofular-2 hipparions 1089 </w:t>
      </w:r>
    </w:p>
    <w:p w14:paraId="6FF59B73" w14:textId="77777777" w:rsidR="0036066A" w:rsidRPr="0036066A" w:rsidRDefault="0036066A" w:rsidP="0036066A">
      <w:pPr>
        <w:rPr>
          <w:lang w:val="en-US"/>
        </w:rPr>
      </w:pPr>
      <w:r w:rsidRPr="0036066A">
        <w:rPr>
          <w:b/>
          <w:bCs/>
          <w:lang w:val="en-US"/>
        </w:rPr>
        <w:t xml:space="preserve">Supplementary Table 2A. </w:t>
      </w:r>
      <w:r w:rsidRPr="0036066A">
        <w:rPr>
          <w:lang w:val="en-US"/>
        </w:rPr>
        <w:t xml:space="preserve">Character State Analysis of Sofular </w:t>
      </w:r>
      <w:r w:rsidRPr="0036066A">
        <w:rPr>
          <w:i/>
          <w:iCs/>
          <w:lang w:val="en-US"/>
        </w:rPr>
        <w:t xml:space="preserve">Cormohipparion sofularensis </w:t>
      </w:r>
      <w:r w:rsidRPr="0036066A">
        <w:rPr>
          <w:lang w:val="en-US"/>
        </w:rPr>
        <w:t xml:space="preserve">n. 1090 sp.compared to </w:t>
      </w:r>
      <w:r w:rsidRPr="0036066A">
        <w:rPr>
          <w:i/>
          <w:iCs/>
          <w:lang w:val="en-US"/>
        </w:rPr>
        <w:t xml:space="preserve">Hippotherium </w:t>
      </w:r>
      <w:r w:rsidRPr="0036066A">
        <w:rPr>
          <w:lang w:val="en-US"/>
        </w:rPr>
        <w:t xml:space="preserve">and other </w:t>
      </w:r>
      <w:r w:rsidRPr="0036066A">
        <w:rPr>
          <w:i/>
          <w:iCs/>
          <w:lang w:val="en-US"/>
        </w:rPr>
        <w:t xml:space="preserve">Cormohipparion </w:t>
      </w:r>
      <w:r w:rsidRPr="0036066A">
        <w:rPr>
          <w:lang w:val="en-US"/>
        </w:rPr>
        <w:t xml:space="preserve">species. 1091 </w:t>
      </w:r>
    </w:p>
    <w:p w14:paraId="3C596B49" w14:textId="77777777" w:rsidR="0036066A" w:rsidRPr="0036066A" w:rsidRDefault="0036066A" w:rsidP="0036066A">
      <w:pPr>
        <w:rPr>
          <w:lang w:val="en-US"/>
        </w:rPr>
      </w:pPr>
      <w:r w:rsidRPr="0036066A">
        <w:rPr>
          <w:b/>
          <w:bCs/>
          <w:lang w:val="en-US"/>
        </w:rPr>
        <w:t xml:space="preserve">Supplementary Table 2B. </w:t>
      </w:r>
      <w:r w:rsidRPr="0036066A">
        <w:rPr>
          <w:lang w:val="en-US"/>
        </w:rPr>
        <w:t xml:space="preserve">Character States for Hipparion crania and dentitions. 1092 </w:t>
      </w:r>
    </w:p>
    <w:p w14:paraId="0716AA3B" w14:textId="4D75A78F" w:rsidR="0036066A" w:rsidRPr="0036066A" w:rsidRDefault="0036066A" w:rsidP="0036066A">
      <w:pPr>
        <w:rPr>
          <w:lang w:val="en-US"/>
        </w:rPr>
      </w:pPr>
      <w:r w:rsidRPr="0036066A">
        <w:rPr>
          <w:b/>
          <w:bCs/>
          <w:lang w:val="en-US"/>
        </w:rPr>
        <w:t xml:space="preserve">Supplementary Table 3 </w:t>
      </w:r>
      <w:r w:rsidRPr="0036066A">
        <w:rPr>
          <w:lang w:val="en-US"/>
        </w:rPr>
        <w:t>– Variance components and loadings’ distribution for Principal 1093 Component Analyses on crania, third metacarpals and third metatarsals discussed in the 1094 text.</w:t>
      </w:r>
    </w:p>
    <w:sectPr w:rsidR="0036066A" w:rsidRPr="003606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24"/>
    <w:rsid w:val="001D0B91"/>
    <w:rsid w:val="0036066A"/>
    <w:rsid w:val="00570BA2"/>
    <w:rsid w:val="00D814EF"/>
    <w:rsid w:val="00F827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743B"/>
  <w15:chartTrackingRefBased/>
  <w15:docId w15:val="{EBFD008A-DDAD-4463-B988-1FDF049D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82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82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8272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8272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8272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8272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272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272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272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272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8272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8272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8272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8272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8272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272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272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2724"/>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2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272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272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272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272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2724"/>
    <w:rPr>
      <w:i/>
      <w:iCs/>
      <w:color w:val="404040" w:themeColor="text1" w:themeTint="BF"/>
    </w:rPr>
  </w:style>
  <w:style w:type="paragraph" w:styleId="Paragrafoelenco">
    <w:name w:val="List Paragraph"/>
    <w:basedOn w:val="Normale"/>
    <w:uiPriority w:val="34"/>
    <w:qFormat/>
    <w:rsid w:val="00F82724"/>
    <w:pPr>
      <w:ind w:left="720"/>
      <w:contextualSpacing/>
    </w:pPr>
  </w:style>
  <w:style w:type="character" w:styleId="Enfasiintensa">
    <w:name w:val="Intense Emphasis"/>
    <w:basedOn w:val="Carpredefinitoparagrafo"/>
    <w:uiPriority w:val="21"/>
    <w:qFormat/>
    <w:rsid w:val="00F82724"/>
    <w:rPr>
      <w:i/>
      <w:iCs/>
      <w:color w:val="2F5496" w:themeColor="accent1" w:themeShade="BF"/>
    </w:rPr>
  </w:style>
  <w:style w:type="paragraph" w:styleId="Citazioneintensa">
    <w:name w:val="Intense Quote"/>
    <w:basedOn w:val="Normale"/>
    <w:next w:val="Normale"/>
    <w:link w:val="CitazioneintensaCarattere"/>
    <w:uiPriority w:val="30"/>
    <w:qFormat/>
    <w:rsid w:val="00F82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82724"/>
    <w:rPr>
      <w:i/>
      <w:iCs/>
      <w:color w:val="2F5496" w:themeColor="accent1" w:themeShade="BF"/>
    </w:rPr>
  </w:style>
  <w:style w:type="character" w:styleId="Riferimentointenso">
    <w:name w:val="Intense Reference"/>
    <w:basedOn w:val="Carpredefinitoparagrafo"/>
    <w:uiPriority w:val="32"/>
    <w:qFormat/>
    <w:rsid w:val="00F827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66521">
      <w:bodyDiv w:val="1"/>
      <w:marLeft w:val="0"/>
      <w:marRight w:val="0"/>
      <w:marTop w:val="0"/>
      <w:marBottom w:val="0"/>
      <w:divBdr>
        <w:top w:val="none" w:sz="0" w:space="0" w:color="auto"/>
        <w:left w:val="none" w:sz="0" w:space="0" w:color="auto"/>
        <w:bottom w:val="none" w:sz="0" w:space="0" w:color="auto"/>
        <w:right w:val="none" w:sz="0" w:space="0" w:color="auto"/>
      </w:divBdr>
    </w:div>
    <w:div w:id="13767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Rita Serenella Lombardo</dc:creator>
  <cp:keywords/>
  <dc:description/>
  <cp:lastModifiedBy>Cristina Rita Serenella Lombardo</cp:lastModifiedBy>
  <cp:revision>2</cp:revision>
  <dcterms:created xsi:type="dcterms:W3CDTF">2025-06-03T13:12:00Z</dcterms:created>
  <dcterms:modified xsi:type="dcterms:W3CDTF">2025-06-03T13:21:00Z</dcterms:modified>
</cp:coreProperties>
</file>