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BC18" w14:textId="77777777" w:rsidR="0023001C" w:rsidRPr="00827A2A" w:rsidRDefault="0023001C" w:rsidP="0023001C">
      <w:pPr>
        <w:spacing w:line="360" w:lineRule="auto"/>
        <w:ind w:hanging="720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827A2A">
        <w:rPr>
          <w:rFonts w:asciiTheme="majorBidi" w:hAnsiTheme="majorBidi" w:cstheme="majorBidi"/>
          <w:noProof/>
          <w:color w:val="auto"/>
          <w:sz w:val="24"/>
          <w:szCs w:val="24"/>
          <w14:ligatures w14:val="standardContextual"/>
        </w:rPr>
        <w:drawing>
          <wp:inline distT="0" distB="0" distL="0" distR="0" wp14:anchorId="606BEE8B" wp14:editId="27AB33B2">
            <wp:extent cx="5731510" cy="4377055"/>
            <wp:effectExtent l="0" t="0" r="2540" b="4445"/>
            <wp:docPr id="18485319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31958" name="Picture 18485319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82506" w14:textId="77777777" w:rsidR="0023001C" w:rsidRPr="0023001C" w:rsidRDefault="0023001C" w:rsidP="0023001C">
      <w:p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23001C">
        <w:rPr>
          <w:rFonts w:ascii="Times New Roman" w:hAnsi="Times New Roman"/>
          <w:b/>
          <w:bCs/>
          <w:color w:val="auto"/>
          <w:sz w:val="24"/>
          <w:szCs w:val="24"/>
        </w:rPr>
        <w:t xml:space="preserve">Appendix. </w:t>
      </w:r>
      <w:r w:rsidRPr="0023001C">
        <w:rPr>
          <w:rFonts w:ascii="Times New Roman" w:hAnsi="Times New Roman"/>
          <w:b/>
          <w:bCs/>
          <w:color w:val="auto"/>
          <w:sz w:val="24"/>
          <w:szCs w:val="24"/>
          <w:cs/>
        </w:rPr>
        <w:t>‎‎</w:t>
      </w:r>
      <w:r w:rsidRPr="0023001C">
        <w:rPr>
          <w:rFonts w:ascii="Times New Roman" w:hAnsi="Times New Roman"/>
          <w:b/>
          <w:bCs/>
          <w:color w:val="auto"/>
          <w:sz w:val="24"/>
          <w:szCs w:val="24"/>
        </w:rPr>
        <w:t xml:space="preserve">3 </w:t>
      </w:r>
      <w:r w:rsidRPr="0023001C">
        <w:rPr>
          <w:rFonts w:ascii="Times New Roman" w:hAnsi="Times New Roman"/>
          <w:color w:val="auto"/>
          <w:sz w:val="24"/>
          <w:szCs w:val="24"/>
        </w:rPr>
        <w:t xml:space="preserve">Stratigraphic distribution chart and calcareous nannofossil biozones of the </w:t>
      </w:r>
      <w:r w:rsidRPr="0023001C">
        <w:rPr>
          <w:rFonts w:ascii="Times New Roman" w:hAnsi="Times New Roman"/>
          <w:color w:val="auto"/>
          <w:sz w:val="24"/>
          <w:szCs w:val="24"/>
          <w:cs/>
        </w:rPr>
        <w:t>‎</w:t>
      </w:r>
      <w:r w:rsidRPr="0023001C">
        <w:rPr>
          <w:rFonts w:ascii="Times New Roman" w:hAnsi="Times New Roman"/>
          <w:color w:val="auto"/>
          <w:sz w:val="24"/>
          <w:szCs w:val="24"/>
        </w:rPr>
        <w:t>identified calcareous nannofossil taxa in section Rash2.</w:t>
      </w:r>
      <w:r w:rsidRPr="0023001C">
        <w:rPr>
          <w:rFonts w:ascii="Times New Roman" w:hAnsi="Times New Roman"/>
          <w:color w:val="auto"/>
          <w:sz w:val="24"/>
          <w:szCs w:val="24"/>
          <w:cs/>
        </w:rPr>
        <w:t>‎</w:t>
      </w:r>
    </w:p>
    <w:p w14:paraId="58463183" w14:textId="3BE1C2BA" w:rsidR="00D814EF" w:rsidRDefault="00D814EF" w:rsidP="0023001C"/>
    <w:sectPr w:rsidR="00D81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1C"/>
    <w:rsid w:val="0023001C"/>
    <w:rsid w:val="002D77E3"/>
    <w:rsid w:val="00570BA2"/>
    <w:rsid w:val="00D8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4430"/>
  <w15:chartTrackingRefBased/>
  <w15:docId w15:val="{93854E6E-5570-4647-9A67-A4AB094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01C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001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001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001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001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001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001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001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001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001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0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0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0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00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00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00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00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00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00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001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3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001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00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00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001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300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00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0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Rita Serenella Lombardo</dc:creator>
  <cp:keywords/>
  <dc:description/>
  <cp:lastModifiedBy>Cristina Rita Serenella Lombardo</cp:lastModifiedBy>
  <cp:revision>1</cp:revision>
  <dcterms:created xsi:type="dcterms:W3CDTF">2026-05-05T13:14:00Z</dcterms:created>
  <dcterms:modified xsi:type="dcterms:W3CDTF">2026-05-05T13:16:00Z</dcterms:modified>
</cp:coreProperties>
</file>