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E73D" w14:textId="7E0E832B" w:rsidR="00BB7B14" w:rsidRPr="00AC5EB3" w:rsidRDefault="00AC5EB3" w:rsidP="008E58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AC5EB3">
        <w:rPr>
          <w:rFonts w:ascii="Times New Roman" w:hAnsi="Times New Roman"/>
          <w:b/>
          <w:sz w:val="28"/>
          <w:szCs w:val="28"/>
          <w:lang w:val="en-GB"/>
        </w:rPr>
        <w:t>Bibliographic References Guidelines</w:t>
      </w:r>
    </w:p>
    <w:p w14:paraId="01A46F5B" w14:textId="0295BC54" w:rsidR="00EB45D3" w:rsidRPr="00AC5EB3" w:rsidRDefault="00BB7B14" w:rsidP="004461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AC5EB3">
        <w:rPr>
          <w:rFonts w:ascii="Times New Roman" w:hAnsi="Times New Roman"/>
          <w:b/>
          <w:sz w:val="28"/>
          <w:szCs w:val="28"/>
          <w:lang w:val="en-GB"/>
        </w:rPr>
        <w:t xml:space="preserve"> MILAN LAW REVIEW</w:t>
      </w:r>
    </w:p>
    <w:p w14:paraId="6051254D" w14:textId="7B9E581C" w:rsidR="00EE029B" w:rsidRPr="00AC5EB3" w:rsidRDefault="00AC5EB3" w:rsidP="00734F8A">
      <w:pPr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AC5EB3">
        <w:rPr>
          <w:rFonts w:ascii="Times New Roman" w:hAnsi="Times New Roman"/>
          <w:sz w:val="24"/>
          <w:szCs w:val="24"/>
          <w:lang w:val="en-GB"/>
        </w:rPr>
        <w:t>The following criteria apply to both the footnotes and the bibliography at the end of the contribution (in alphabetical order by surname)</w:t>
      </w:r>
    </w:p>
    <w:p w14:paraId="480A18B4" w14:textId="77777777" w:rsidR="00734F8A" w:rsidRPr="00AC5EB3" w:rsidRDefault="00734F8A" w:rsidP="00734F8A">
      <w:pPr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8DB0306" w14:textId="77777777" w:rsidR="00220BC5" w:rsidRPr="00AC5EB3" w:rsidRDefault="00220BC5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</w:p>
    <w:p w14:paraId="6EBE29F5" w14:textId="50B08080" w:rsidR="00EE029B" w:rsidRPr="00AC5EB3" w:rsidRDefault="00AC5EB3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C5EB3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 xml:space="preserve">Monographs, Scientific Treatises and </w:t>
      </w:r>
      <w:r w:rsidRPr="00AC5EB3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Textbooks</w:t>
      </w:r>
      <w:r w:rsidR="00EE029B" w:rsidRPr="00AC5EB3">
        <w:rPr>
          <w:rFonts w:ascii="Times New Roman" w:hAnsi="Times New Roman"/>
          <w:b/>
          <w:bCs/>
          <w:sz w:val="24"/>
          <w:szCs w:val="24"/>
          <w:lang w:val="en-GB"/>
        </w:rPr>
        <w:t>:</w:t>
      </w:r>
      <w:r w:rsidR="008E5894" w:rsidRPr="00AC5EB3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23483C11" w14:textId="018DDA81" w:rsidR="00AC5EB3" w:rsidRPr="00AC5EB3" w:rsidRDefault="00AC5EB3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AC5EB3">
        <w:rPr>
          <w:rFonts w:ascii="Times New Roman" w:hAnsi="Times New Roman"/>
          <w:sz w:val="24"/>
          <w:szCs w:val="24"/>
          <w:lang w:val="en-GB"/>
        </w:rPr>
        <w:t xml:space="preserve">R. Dworkin, </w:t>
      </w:r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Taking Rights Seriously</w:t>
      </w:r>
      <w:r w:rsidRPr="00AC5EB3">
        <w:rPr>
          <w:rFonts w:ascii="Times New Roman" w:hAnsi="Times New Roman"/>
          <w:sz w:val="24"/>
          <w:szCs w:val="24"/>
          <w:lang w:val="en-GB"/>
        </w:rPr>
        <w:t>, Harvard University Press, Cambridge - MA, 1977</w:t>
      </w:r>
    </w:p>
    <w:p w14:paraId="11BB4A88" w14:textId="0E1DAB7B" w:rsidR="00511246" w:rsidRPr="00AC5EB3" w:rsidRDefault="00560238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C5EB3">
        <w:rPr>
          <w:rFonts w:ascii="Times New Roman" w:hAnsi="Times New Roman"/>
          <w:sz w:val="24"/>
          <w:szCs w:val="24"/>
          <w:lang w:val="en-GB"/>
        </w:rPr>
        <w:t xml:space="preserve">G. </w:t>
      </w:r>
      <w:proofErr w:type="spellStart"/>
      <w:r w:rsidRPr="00AC5EB3">
        <w:rPr>
          <w:rFonts w:ascii="Times New Roman" w:hAnsi="Times New Roman"/>
          <w:sz w:val="24"/>
          <w:szCs w:val="24"/>
          <w:lang w:val="en-GB"/>
        </w:rPr>
        <w:t>Marinucci</w:t>
      </w:r>
      <w:proofErr w:type="spellEnd"/>
      <w:r w:rsidR="008E5894" w:rsidRPr="00AC5EB3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Il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reato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come azione.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Critica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di un dogma</w:t>
      </w:r>
      <w:r w:rsidR="008E5894" w:rsidRPr="00AC5EB3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AC5EB3">
        <w:rPr>
          <w:rFonts w:ascii="Times New Roman" w:hAnsi="Times New Roman"/>
          <w:sz w:val="24"/>
          <w:szCs w:val="24"/>
          <w:lang w:val="en-GB"/>
        </w:rPr>
        <w:t>Giuffrè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220BC5" w:rsidRPr="00AC5EB3">
        <w:rPr>
          <w:rFonts w:ascii="Times New Roman" w:hAnsi="Times New Roman"/>
          <w:sz w:val="24"/>
          <w:szCs w:val="24"/>
          <w:lang w:val="en-GB"/>
        </w:rPr>
        <w:t xml:space="preserve">Milano, </w:t>
      </w:r>
      <w:r w:rsidRPr="00AC5EB3">
        <w:rPr>
          <w:rFonts w:ascii="Times New Roman" w:hAnsi="Times New Roman"/>
          <w:sz w:val="24"/>
          <w:szCs w:val="24"/>
          <w:lang w:val="en-GB"/>
        </w:rPr>
        <w:t>197</w:t>
      </w:r>
      <w:r w:rsidR="00525C12" w:rsidRPr="00AC5EB3">
        <w:rPr>
          <w:rFonts w:ascii="Times New Roman" w:hAnsi="Times New Roman"/>
          <w:sz w:val="24"/>
          <w:szCs w:val="24"/>
          <w:lang w:val="en-GB"/>
        </w:rPr>
        <w:t>1</w:t>
      </w:r>
    </w:p>
    <w:p w14:paraId="632EF997" w14:textId="77777777" w:rsidR="00EE029B" w:rsidRPr="00AC5EB3" w:rsidRDefault="00EE029B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val="en-GB"/>
        </w:rPr>
      </w:pPr>
    </w:p>
    <w:p w14:paraId="1A2C1813" w14:textId="09E3C736" w:rsidR="00EE029B" w:rsidRPr="00AC5EB3" w:rsidRDefault="00AC5EB3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>Chapters in edited books</w:t>
      </w:r>
      <w:r w:rsidR="008E5894" w:rsidRPr="00AC5EB3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14:paraId="744D520D" w14:textId="390681A9" w:rsidR="00AC5EB3" w:rsidRPr="00AC5EB3" w:rsidRDefault="00AC5EB3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mallCaps/>
          <w:sz w:val="24"/>
          <w:szCs w:val="24"/>
          <w:highlight w:val="green"/>
          <w:lang w:val="en-GB"/>
        </w:rPr>
      </w:pPr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F. </w:t>
      </w:r>
      <w:proofErr w:type="spellStart"/>
      <w:r w:rsidRPr="00AC5EB3">
        <w:rPr>
          <w:rFonts w:ascii="Times New Roman" w:hAnsi="Times New Roman"/>
          <w:sz w:val="24"/>
          <w:szCs w:val="24"/>
          <w:lang w:val="en-GB"/>
        </w:rPr>
        <w:t>Viganò</w:t>
      </w:r>
      <w:proofErr w:type="spellEnd"/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, </w:t>
      </w:r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Rethinking the Model Offence. From ‘Trafficking’ to ‘Modern Slavery</w:t>
      </w:r>
      <w:proofErr w:type="gram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’?,</w:t>
      </w:r>
      <w:proofErr w:type="gram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 w:rsidRPr="00AC5EB3">
        <w:rPr>
          <w:rFonts w:ascii="Times New Roman" w:hAnsi="Times New Roman"/>
          <w:sz w:val="24"/>
          <w:szCs w:val="24"/>
          <w:lang w:val="en-GB"/>
        </w:rPr>
        <w:t xml:space="preserve">in R. </w:t>
      </w:r>
      <w:proofErr w:type="spellStart"/>
      <w:r w:rsidRPr="00AC5EB3">
        <w:rPr>
          <w:rFonts w:ascii="Times New Roman" w:hAnsi="Times New Roman"/>
          <w:sz w:val="24"/>
          <w:szCs w:val="24"/>
          <w:lang w:val="en-GB"/>
        </w:rPr>
        <w:t>Haverkamp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 xml:space="preserve">, E. </w:t>
      </w:r>
      <w:proofErr w:type="spellStart"/>
      <w:r w:rsidRPr="00AC5EB3">
        <w:rPr>
          <w:rFonts w:ascii="Times New Roman" w:hAnsi="Times New Roman"/>
          <w:sz w:val="24"/>
          <w:szCs w:val="24"/>
          <w:lang w:val="en-GB"/>
        </w:rPr>
        <w:t>Herlin-Karnell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 xml:space="preserve"> and C. </w:t>
      </w:r>
      <w:proofErr w:type="spellStart"/>
      <w:r w:rsidRPr="00AC5EB3">
        <w:rPr>
          <w:rFonts w:ascii="Times New Roman" w:hAnsi="Times New Roman"/>
          <w:sz w:val="24"/>
          <w:szCs w:val="24"/>
          <w:lang w:val="en-GB"/>
        </w:rPr>
        <w:t>Lernestedt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 xml:space="preserve"> (eds.), </w:t>
      </w:r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What Is Wrong With Human Trafficking? Critical Perspectives on the Law</w:t>
      </w:r>
      <w:r w:rsidRPr="00AC5EB3">
        <w:rPr>
          <w:rFonts w:ascii="Times New Roman" w:hAnsi="Times New Roman"/>
          <w:sz w:val="24"/>
          <w:szCs w:val="24"/>
          <w:lang w:val="en-GB"/>
        </w:rPr>
        <w:t>, Hart Publishing, Oxford, 2019, p. 239-261</w:t>
      </w:r>
    </w:p>
    <w:p w14:paraId="63E76A07" w14:textId="6FE9B839" w:rsidR="00E47C93" w:rsidRPr="00AC5EB3" w:rsidRDefault="00B1706B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mallCaps/>
          <w:sz w:val="24"/>
          <w:szCs w:val="24"/>
          <w:lang w:val="en-GB"/>
        </w:rPr>
      </w:pPr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D. </w:t>
      </w:r>
      <w:proofErr w:type="spellStart"/>
      <w:r w:rsidRPr="00AC5EB3">
        <w:rPr>
          <w:rFonts w:ascii="Times New Roman" w:hAnsi="Times New Roman"/>
          <w:sz w:val="24"/>
          <w:szCs w:val="24"/>
          <w:lang w:val="en-GB"/>
        </w:rPr>
        <w:t>Pulitanò</w:t>
      </w:r>
      <w:proofErr w:type="spellEnd"/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,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Minacciare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punire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, </w:t>
      </w:r>
      <w:r w:rsidRPr="00AC5EB3">
        <w:rPr>
          <w:rFonts w:ascii="Times New Roman" w:hAnsi="Times New Roman"/>
          <w:sz w:val="24"/>
          <w:szCs w:val="24"/>
          <w:lang w:val="en-GB"/>
        </w:rPr>
        <w:t xml:space="preserve">in </w:t>
      </w:r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C.E. </w:t>
      </w:r>
      <w:proofErr w:type="spellStart"/>
      <w:r w:rsidRPr="00AC5EB3">
        <w:rPr>
          <w:rFonts w:ascii="Times New Roman" w:hAnsi="Times New Roman"/>
          <w:smallCaps/>
          <w:sz w:val="24"/>
          <w:szCs w:val="24"/>
          <w:lang w:val="en-GB"/>
        </w:rPr>
        <w:t>Paliero</w:t>
      </w:r>
      <w:proofErr w:type="spellEnd"/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, F. </w:t>
      </w:r>
      <w:proofErr w:type="spellStart"/>
      <w:r w:rsidRPr="00AC5EB3">
        <w:rPr>
          <w:rFonts w:ascii="Times New Roman" w:hAnsi="Times New Roman"/>
          <w:smallCaps/>
          <w:sz w:val="24"/>
          <w:szCs w:val="24"/>
          <w:lang w:val="en-GB"/>
        </w:rPr>
        <w:t>Viganò</w:t>
      </w:r>
      <w:proofErr w:type="spellEnd"/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, F. Basile, G.L. </w:t>
      </w:r>
      <w:proofErr w:type="spellStart"/>
      <w:r w:rsidRPr="00AC5EB3">
        <w:rPr>
          <w:rFonts w:ascii="Times New Roman" w:hAnsi="Times New Roman"/>
          <w:smallCaps/>
          <w:sz w:val="24"/>
          <w:szCs w:val="24"/>
          <w:lang w:val="en-GB"/>
        </w:rPr>
        <w:t>Gatta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La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pena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,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ancora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: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fra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attualità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tradizione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.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Studi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in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onore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di Emilio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Dolcini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AC5EB3">
        <w:rPr>
          <w:rFonts w:ascii="Times New Roman" w:hAnsi="Times New Roman"/>
          <w:sz w:val="24"/>
          <w:szCs w:val="24"/>
          <w:lang w:val="en-GB"/>
        </w:rPr>
        <w:t>Giuffrè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>, Milano, 2018, p. 3-27</w:t>
      </w:r>
    </w:p>
    <w:p w14:paraId="269F104F" w14:textId="77777777" w:rsidR="009D6319" w:rsidRPr="00AC5EB3" w:rsidRDefault="009D6319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mallCaps/>
          <w:sz w:val="24"/>
          <w:szCs w:val="24"/>
          <w:highlight w:val="green"/>
          <w:lang w:val="en-GB"/>
        </w:rPr>
      </w:pPr>
    </w:p>
    <w:p w14:paraId="0FE8EDEE" w14:textId="16258907" w:rsidR="00E47C93" w:rsidRPr="00AC5EB3" w:rsidRDefault="00AC5EB3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Articles in Law Journals</w:t>
      </w:r>
      <w:r w:rsidR="008E5894" w:rsidRPr="00AC5EB3">
        <w:rPr>
          <w:rFonts w:ascii="Times New Roman" w:hAnsi="Times New Roman"/>
          <w:b/>
          <w:bCs/>
          <w:sz w:val="24"/>
          <w:szCs w:val="24"/>
          <w:lang w:val="en-GB"/>
        </w:rPr>
        <w:t xml:space="preserve">: </w:t>
      </w:r>
    </w:p>
    <w:p w14:paraId="6C8E12C8" w14:textId="633FD3FB" w:rsidR="00AC5EB3" w:rsidRPr="00AC5EB3" w:rsidRDefault="00AC5EB3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H-J. </w:t>
      </w:r>
      <w:r w:rsidRPr="00AC5EB3">
        <w:rPr>
          <w:rFonts w:ascii="Times New Roman" w:hAnsi="Times New Roman"/>
          <w:sz w:val="24"/>
          <w:szCs w:val="24"/>
          <w:lang w:val="en-GB"/>
        </w:rPr>
        <w:t xml:space="preserve">Albrecht, </w:t>
      </w:r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Environmental Criminal Laws and Environmental Crimes in Europe. Problems and Prospects</w:t>
      </w:r>
      <w:r w:rsidRPr="00AC5EB3">
        <w:rPr>
          <w:rFonts w:ascii="Times New Roman" w:hAnsi="Times New Roman"/>
          <w:sz w:val="24"/>
          <w:szCs w:val="24"/>
          <w:lang w:val="en-GB"/>
        </w:rPr>
        <w:t xml:space="preserve">, in </w:t>
      </w:r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European Journal of Crime, Criminal Law and Criminal Justice</w:t>
      </w:r>
      <w:r w:rsidRPr="00AC5EB3">
        <w:rPr>
          <w:rFonts w:ascii="Times New Roman" w:hAnsi="Times New Roman"/>
          <w:sz w:val="24"/>
          <w:szCs w:val="24"/>
          <w:lang w:val="en-GB"/>
        </w:rPr>
        <w:t>, 1994, vol. 2, p. 168-179</w:t>
      </w:r>
    </w:p>
    <w:p w14:paraId="55F00D90" w14:textId="4E45F328" w:rsidR="00C752E3" w:rsidRPr="00AC5EB3" w:rsidRDefault="008D78D5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R. </w:t>
      </w:r>
      <w:r w:rsidRPr="00AC5EB3">
        <w:rPr>
          <w:rFonts w:ascii="Times New Roman" w:hAnsi="Times New Roman"/>
          <w:sz w:val="24"/>
          <w:szCs w:val="24"/>
          <w:lang w:val="en-GB"/>
        </w:rPr>
        <w:t>Bin</w:t>
      </w:r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, </w:t>
      </w:r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Il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dissolubile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legame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tra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resistenza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a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pubblico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ufficiale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e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beni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personalistici</w:t>
      </w:r>
      <w:proofErr w:type="spellEnd"/>
      <w:r w:rsidRPr="00AC5EB3">
        <w:rPr>
          <w:rFonts w:ascii="Times New Roman" w:hAnsi="Times New Roman"/>
          <w:smallCaps/>
          <w:sz w:val="24"/>
          <w:szCs w:val="24"/>
          <w:lang w:val="en-GB"/>
        </w:rPr>
        <w:t xml:space="preserve">, </w:t>
      </w:r>
      <w:r w:rsidRPr="00AC5EB3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Giurisprudenza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Costituzionale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>, 2021, vol. 2, p. 254-276</w:t>
      </w:r>
    </w:p>
    <w:p w14:paraId="58AEDDA6" w14:textId="77777777" w:rsidR="009D6319" w:rsidRPr="00AC5EB3" w:rsidRDefault="009D6319" w:rsidP="009D6319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</w:p>
    <w:p w14:paraId="4AD19C7C" w14:textId="0DE12DC6" w:rsidR="009D6319" w:rsidRPr="00AC5EB3" w:rsidRDefault="00AC5EB3" w:rsidP="009D6319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Encyclopaedias’ entries</w:t>
      </w:r>
      <w:r w:rsidR="009D6319" w:rsidRPr="00AC5EB3">
        <w:rPr>
          <w:rFonts w:ascii="Times New Roman" w:hAnsi="Times New Roman"/>
          <w:b/>
          <w:bCs/>
          <w:sz w:val="24"/>
          <w:szCs w:val="24"/>
          <w:lang w:val="en-GB"/>
        </w:rPr>
        <w:t xml:space="preserve">: </w:t>
      </w:r>
    </w:p>
    <w:p w14:paraId="15ABD77F" w14:textId="75B81AD8" w:rsidR="00AC5EB3" w:rsidRPr="00AC5EB3" w:rsidRDefault="00AC5EB3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AC5EB3">
        <w:rPr>
          <w:rFonts w:ascii="Times New Roman" w:hAnsi="Times New Roman"/>
          <w:bCs/>
          <w:smallCaps/>
          <w:sz w:val="24"/>
          <w:szCs w:val="24"/>
          <w:lang w:val="en-GB"/>
        </w:rPr>
        <w:t xml:space="preserve">M. G. </w:t>
      </w:r>
      <w:r w:rsidRPr="00AC5EB3">
        <w:rPr>
          <w:rFonts w:ascii="Times New Roman" w:hAnsi="Times New Roman"/>
          <w:bCs/>
          <w:sz w:val="24"/>
          <w:szCs w:val="24"/>
          <w:lang w:val="en-GB"/>
        </w:rPr>
        <w:t xml:space="preserve">Faure, </w:t>
      </w:r>
      <w:r w:rsidRPr="00AC5EB3">
        <w:rPr>
          <w:rFonts w:ascii="Times New Roman" w:hAnsi="Times New Roman"/>
          <w:bCs/>
          <w:i/>
          <w:iCs/>
          <w:sz w:val="24"/>
          <w:szCs w:val="24"/>
          <w:lang w:val="en-GB"/>
        </w:rPr>
        <w:t>Accident Compensation</w:t>
      </w:r>
      <w:r w:rsidRPr="00AC5EB3">
        <w:rPr>
          <w:rFonts w:ascii="Times New Roman" w:hAnsi="Times New Roman"/>
          <w:bCs/>
          <w:sz w:val="24"/>
          <w:szCs w:val="24"/>
          <w:lang w:val="en-GB"/>
        </w:rPr>
        <w:t>,</w:t>
      </w:r>
      <w:r w:rsidRPr="00AC5EB3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</w:t>
      </w:r>
      <w:r w:rsidRPr="00AC5EB3">
        <w:rPr>
          <w:rFonts w:ascii="Times New Roman" w:hAnsi="Times New Roman"/>
          <w:bCs/>
          <w:sz w:val="24"/>
          <w:szCs w:val="24"/>
          <w:lang w:val="en-GB"/>
        </w:rPr>
        <w:t xml:space="preserve">in </w:t>
      </w:r>
      <w:r w:rsidRPr="00AC5EB3">
        <w:rPr>
          <w:rFonts w:ascii="Times New Roman" w:hAnsi="Times New Roman"/>
          <w:bCs/>
          <w:smallCaps/>
          <w:sz w:val="24"/>
          <w:szCs w:val="24"/>
          <w:lang w:val="en-GB"/>
        </w:rPr>
        <w:t>J.M. Smits</w:t>
      </w:r>
      <w:r w:rsidRPr="00AC5EB3">
        <w:rPr>
          <w:rFonts w:ascii="Times New Roman" w:hAnsi="Times New Roman"/>
          <w:bCs/>
          <w:sz w:val="24"/>
          <w:szCs w:val="24"/>
          <w:lang w:val="en-GB"/>
        </w:rPr>
        <w:t xml:space="preserve"> (ed.), </w:t>
      </w:r>
      <w:r w:rsidRPr="00AC5EB3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Elgar </w:t>
      </w:r>
      <w:proofErr w:type="spellStart"/>
      <w:r w:rsidRPr="00AC5EB3">
        <w:rPr>
          <w:rFonts w:ascii="Times New Roman" w:hAnsi="Times New Roman"/>
          <w:bCs/>
          <w:i/>
          <w:iCs/>
          <w:sz w:val="24"/>
          <w:szCs w:val="24"/>
          <w:lang w:val="en-GB"/>
        </w:rPr>
        <w:t>Encyclopedia</w:t>
      </w:r>
      <w:proofErr w:type="spellEnd"/>
      <w:r w:rsidRPr="00AC5EB3">
        <w:rPr>
          <w:rFonts w:ascii="Times New Roman" w:hAnsi="Times New Roman"/>
          <w:bCs/>
          <w:i/>
          <w:iCs/>
          <w:sz w:val="24"/>
          <w:szCs w:val="24"/>
          <w:lang w:val="en-GB"/>
        </w:rPr>
        <w:t xml:space="preserve"> of Comparative Law</w:t>
      </w:r>
      <w:r w:rsidRPr="00AC5EB3">
        <w:rPr>
          <w:rFonts w:ascii="Times New Roman" w:hAnsi="Times New Roman"/>
          <w:bCs/>
          <w:sz w:val="24"/>
          <w:szCs w:val="24"/>
          <w:lang w:val="en-GB"/>
        </w:rPr>
        <w:t>, 2nd edition, Edward Elgar Publishing, Cheltenham, 2014, p. 1-21</w:t>
      </w:r>
    </w:p>
    <w:p w14:paraId="5C2321B9" w14:textId="7D3281D6" w:rsidR="009D6319" w:rsidRPr="00AC5EB3" w:rsidRDefault="009D6319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AC5EB3">
        <w:rPr>
          <w:rFonts w:ascii="Times New Roman" w:hAnsi="Times New Roman"/>
          <w:sz w:val="24"/>
          <w:szCs w:val="24"/>
          <w:lang w:val="en-GB"/>
        </w:rPr>
        <w:t xml:space="preserve">D. </w:t>
      </w:r>
      <w:proofErr w:type="spellStart"/>
      <w:r w:rsidRPr="00AC5EB3">
        <w:rPr>
          <w:rFonts w:ascii="Times New Roman" w:hAnsi="Times New Roman"/>
          <w:sz w:val="24"/>
          <w:szCs w:val="24"/>
          <w:lang w:val="en-GB"/>
        </w:rPr>
        <w:t>Nocilla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 xml:space="preserve">, voce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Popolo</w:t>
      </w:r>
      <w:proofErr w:type="spellEnd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(dir. cost.)</w:t>
      </w:r>
      <w:r w:rsidRPr="00AC5EB3">
        <w:rPr>
          <w:rFonts w:ascii="Times New Roman" w:hAnsi="Times New Roman"/>
          <w:sz w:val="24"/>
          <w:szCs w:val="24"/>
          <w:lang w:val="en-GB"/>
        </w:rPr>
        <w:t xml:space="preserve">, in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Enc</w:t>
      </w:r>
      <w:r w:rsidR="00EE477B" w:rsidRPr="00AC5EB3">
        <w:rPr>
          <w:rFonts w:ascii="Times New Roman" w:hAnsi="Times New Roman"/>
          <w:i/>
          <w:iCs/>
          <w:sz w:val="24"/>
          <w:szCs w:val="24"/>
          <w:lang w:val="en-GB"/>
        </w:rPr>
        <w:t>iclopedia</w:t>
      </w:r>
      <w:proofErr w:type="spellEnd"/>
      <w:r w:rsidR="00EE477B"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del</w:t>
      </w:r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C5EB3">
        <w:rPr>
          <w:rFonts w:ascii="Times New Roman" w:hAnsi="Times New Roman"/>
          <w:i/>
          <w:iCs/>
          <w:sz w:val="24"/>
          <w:szCs w:val="24"/>
          <w:lang w:val="en-GB"/>
        </w:rPr>
        <w:t>dir</w:t>
      </w:r>
      <w:r w:rsidR="00EE477B" w:rsidRPr="00AC5EB3">
        <w:rPr>
          <w:rFonts w:ascii="Times New Roman" w:hAnsi="Times New Roman"/>
          <w:i/>
          <w:iCs/>
          <w:sz w:val="24"/>
          <w:szCs w:val="24"/>
          <w:lang w:val="en-GB"/>
        </w:rPr>
        <w:t>itto</w:t>
      </w:r>
      <w:proofErr w:type="spellEnd"/>
      <w:r w:rsidRPr="00AC5EB3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EE477B" w:rsidRPr="00AC5EB3">
        <w:rPr>
          <w:rFonts w:ascii="Times New Roman" w:hAnsi="Times New Roman"/>
          <w:sz w:val="24"/>
          <w:szCs w:val="24"/>
          <w:lang w:val="en-GB"/>
        </w:rPr>
        <w:t>Giuffrè</w:t>
      </w:r>
      <w:proofErr w:type="spellEnd"/>
      <w:r w:rsidR="00EE477B" w:rsidRPr="00AC5EB3">
        <w:rPr>
          <w:rFonts w:ascii="Times New Roman" w:hAnsi="Times New Roman"/>
          <w:sz w:val="24"/>
          <w:szCs w:val="24"/>
          <w:lang w:val="en-GB"/>
        </w:rPr>
        <w:t xml:space="preserve">, Milano, </w:t>
      </w:r>
      <w:r w:rsidRPr="00AC5EB3">
        <w:rPr>
          <w:rFonts w:ascii="Times New Roman" w:hAnsi="Times New Roman"/>
          <w:sz w:val="24"/>
          <w:szCs w:val="24"/>
          <w:lang w:val="en-GB"/>
        </w:rPr>
        <w:t>XXXIV</w:t>
      </w:r>
      <w:r w:rsidR="00A60A30" w:rsidRPr="00AC5EB3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AC5EB3">
        <w:rPr>
          <w:rFonts w:ascii="Times New Roman" w:hAnsi="Times New Roman"/>
          <w:sz w:val="24"/>
          <w:szCs w:val="24"/>
          <w:lang w:val="en-GB"/>
        </w:rPr>
        <w:t>1985</w:t>
      </w:r>
    </w:p>
    <w:p w14:paraId="1CCB031F" w14:textId="77777777" w:rsidR="00EE477B" w:rsidRPr="00AC5EB3" w:rsidRDefault="00EE477B" w:rsidP="00EE477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  <w:lang w:val="en-GB"/>
        </w:rPr>
      </w:pPr>
    </w:p>
    <w:p w14:paraId="3D5BF4BF" w14:textId="5E599AEA" w:rsidR="00EE477B" w:rsidRPr="00AC5EB3" w:rsidRDefault="00734F8A" w:rsidP="00EE477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AC5EB3">
        <w:rPr>
          <w:rFonts w:ascii="Times New Roman" w:hAnsi="Times New Roman"/>
          <w:b/>
          <w:sz w:val="24"/>
          <w:szCs w:val="24"/>
          <w:u w:val="single"/>
          <w:lang w:val="en-US"/>
        </w:rPr>
        <w:t>***</w:t>
      </w:r>
      <w:r w:rsidR="00AC5EB3" w:rsidRPr="00AC5EB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Adding links (to documents, open access articles, </w:t>
      </w:r>
      <w:proofErr w:type="gramStart"/>
      <w:r w:rsidR="00AC5EB3" w:rsidRPr="00AC5EB3">
        <w:rPr>
          <w:rFonts w:ascii="Times New Roman" w:hAnsi="Times New Roman"/>
          <w:b/>
          <w:sz w:val="24"/>
          <w:szCs w:val="24"/>
          <w:u w:val="single"/>
          <w:lang w:val="en-US"/>
        </w:rPr>
        <w:t>etc.)</w:t>
      </w:r>
      <w:r w:rsidRPr="00AC5EB3">
        <w:rPr>
          <w:rFonts w:ascii="Times New Roman" w:hAnsi="Times New Roman"/>
          <w:b/>
          <w:sz w:val="24"/>
          <w:szCs w:val="24"/>
          <w:u w:val="single"/>
          <w:lang w:val="en-US"/>
        </w:rPr>
        <w:t>*</w:t>
      </w:r>
      <w:proofErr w:type="gramEnd"/>
      <w:r w:rsidRPr="00AC5EB3">
        <w:rPr>
          <w:rFonts w:ascii="Times New Roman" w:hAnsi="Times New Roman"/>
          <w:b/>
          <w:sz w:val="24"/>
          <w:szCs w:val="24"/>
          <w:u w:val="single"/>
          <w:lang w:val="en-US"/>
        </w:rPr>
        <w:t>**</w:t>
      </w:r>
    </w:p>
    <w:p w14:paraId="58B906E3" w14:textId="5646AB91" w:rsidR="00AC5EB3" w:rsidRDefault="00AC5EB3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AC5EB3">
        <w:rPr>
          <w:rFonts w:ascii="Times New Roman" w:hAnsi="Times New Roman"/>
          <w:bCs/>
          <w:sz w:val="24"/>
          <w:szCs w:val="24"/>
          <w:lang w:val="en-GB"/>
        </w:rPr>
        <w:t xml:space="preserve">Links to freely available online materials may </w:t>
      </w:r>
      <w:r w:rsidRPr="00B64136">
        <w:rPr>
          <w:rFonts w:ascii="Times New Roman" w:hAnsi="Times New Roman"/>
          <w:bCs/>
          <w:sz w:val="24"/>
          <w:szCs w:val="24"/>
          <w:u w:val="single"/>
          <w:lang w:val="en-GB"/>
        </w:rPr>
        <w:t>not</w:t>
      </w:r>
      <w:r w:rsidRPr="00AC5EB3">
        <w:rPr>
          <w:rFonts w:ascii="Times New Roman" w:hAnsi="Times New Roman"/>
          <w:bCs/>
          <w:sz w:val="24"/>
          <w:szCs w:val="24"/>
          <w:lang w:val="en-GB"/>
        </w:rPr>
        <w:t xml:space="preserve"> be copied and pasted into the text or footnote</w:t>
      </w:r>
      <w:r w:rsidR="00B64136">
        <w:rPr>
          <w:rFonts w:ascii="Times New Roman" w:hAnsi="Times New Roman"/>
          <w:bCs/>
          <w:sz w:val="24"/>
          <w:szCs w:val="24"/>
          <w:lang w:val="en-GB"/>
        </w:rPr>
        <w:t>, as in the example below.</w:t>
      </w:r>
    </w:p>
    <w:p w14:paraId="142CAA27" w14:textId="28F542A2" w:rsidR="00AC5EB3" w:rsidRPr="00B64136" w:rsidRDefault="00446126" w:rsidP="00B64136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B64136">
        <w:rPr>
          <w:rFonts w:ascii="Times New Roman" w:hAnsi="Times New Roman"/>
          <w:b/>
          <w:bCs/>
          <w:sz w:val="20"/>
          <w:szCs w:val="20"/>
          <w:lang w:val="en-GB"/>
        </w:rPr>
        <w:t>NO:</w:t>
      </w:r>
      <w:r w:rsidRPr="00B64136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B64136">
        <w:rPr>
          <w:rFonts w:ascii="Times New Roman" w:hAnsi="Times New Roman"/>
          <w:sz w:val="20"/>
          <w:szCs w:val="20"/>
          <w:lang w:val="en-GB"/>
        </w:rPr>
        <w:t xml:space="preserve">E. </w:t>
      </w:r>
      <w:r w:rsidR="00B64136" w:rsidRPr="00B64136">
        <w:rPr>
          <w:rFonts w:ascii="Times New Roman" w:hAnsi="Times New Roman"/>
          <w:sz w:val="20"/>
          <w:szCs w:val="20"/>
          <w:lang w:val="en-GB"/>
        </w:rPr>
        <w:t>Donger</w:t>
      </w:r>
      <w:r w:rsidR="00B64136" w:rsidRPr="00B64136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B64136" w:rsidRPr="00B64136">
        <w:rPr>
          <w:rFonts w:ascii="Times New Roman" w:hAnsi="Times New Roman"/>
          <w:i/>
          <w:iCs/>
          <w:sz w:val="20"/>
          <w:szCs w:val="20"/>
          <w:lang w:val="en-GB"/>
        </w:rPr>
        <w:t>Lessons on “Adaptation Litigation” from the Global South</w:t>
      </w:r>
      <w:r w:rsidR="00B64136" w:rsidRPr="00B64136">
        <w:rPr>
          <w:rFonts w:ascii="Times New Roman" w:hAnsi="Times New Roman"/>
          <w:sz w:val="20"/>
          <w:szCs w:val="20"/>
          <w:lang w:val="en-GB"/>
        </w:rPr>
        <w:t xml:space="preserve">, in </w:t>
      </w:r>
      <w:proofErr w:type="spellStart"/>
      <w:r w:rsidR="00B64136" w:rsidRPr="00B64136">
        <w:rPr>
          <w:rFonts w:ascii="Times New Roman" w:hAnsi="Times New Roman"/>
          <w:i/>
          <w:iCs/>
          <w:sz w:val="20"/>
          <w:szCs w:val="20"/>
          <w:lang w:val="en-GB"/>
        </w:rPr>
        <w:t>Verfassungsblog</w:t>
      </w:r>
      <w:proofErr w:type="spellEnd"/>
      <w:r w:rsidR="00B64136" w:rsidRPr="00B64136">
        <w:rPr>
          <w:rFonts w:ascii="Times New Roman" w:hAnsi="Times New Roman"/>
          <w:sz w:val="20"/>
          <w:szCs w:val="20"/>
          <w:lang w:val="en-GB"/>
        </w:rPr>
        <w:t xml:space="preserve">, 22.3.2022, </w:t>
      </w:r>
      <w:hyperlink r:id="rId5" w:history="1">
        <w:r w:rsidR="00B64136" w:rsidRPr="00B64136">
          <w:rPr>
            <w:rStyle w:val="Collegamentoipertestuale"/>
            <w:rFonts w:ascii="Times New Roman" w:hAnsi="Times New Roman"/>
            <w:sz w:val="20"/>
            <w:szCs w:val="20"/>
            <w:lang w:val="en-GB"/>
          </w:rPr>
          <w:t>https://verfassungsblog.de/lessons-on-adaptation-litigation-from-the-global-south/</w:t>
        </w:r>
      </w:hyperlink>
      <w:r w:rsidR="00B64136" w:rsidRPr="00B64136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14:paraId="142BAF76" w14:textId="77777777" w:rsidR="00AC5EB3" w:rsidRDefault="00AC5EB3" w:rsidP="00AC5EB3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AC5EB3">
        <w:rPr>
          <w:rFonts w:ascii="Times New Roman" w:hAnsi="Times New Roman"/>
          <w:bCs/>
          <w:sz w:val="24"/>
          <w:szCs w:val="24"/>
          <w:lang w:val="en-GB"/>
        </w:rPr>
        <w:t>Instead, they must be incorporated in the title of the document to be linked, as in the example below. To do this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by Microsoft Word</w:t>
      </w:r>
      <w:r w:rsidRPr="00AC5EB3">
        <w:rPr>
          <w:rFonts w:ascii="Times New Roman" w:hAnsi="Times New Roman"/>
          <w:bCs/>
          <w:sz w:val="24"/>
          <w:szCs w:val="24"/>
          <w:lang w:val="en-GB"/>
        </w:rPr>
        <w:t xml:space="preserve">, simply copy the link, select the title to be linked, click on Menu-&gt;Insert-&gt; Hyperlink, and paste the link in the space indicated. </w:t>
      </w:r>
    </w:p>
    <w:p w14:paraId="7D01FCAA" w14:textId="46CCA7DA" w:rsidR="00EB45D3" w:rsidRPr="00AC5EB3" w:rsidRDefault="00AC5EB3" w:rsidP="00B64136">
      <w:pPr>
        <w:tabs>
          <w:tab w:val="left" w:pos="0"/>
        </w:tabs>
        <w:adjustRightInd w:val="0"/>
        <w:spacing w:after="120" w:line="240" w:lineRule="auto"/>
        <w:jc w:val="both"/>
        <w:rPr>
          <w:lang w:val="en-GB"/>
        </w:rPr>
      </w:pPr>
      <w:r w:rsidRPr="00AC5EB3">
        <w:rPr>
          <w:rFonts w:ascii="Times New Roman" w:hAnsi="Times New Roman"/>
          <w:b/>
          <w:bCs/>
          <w:sz w:val="20"/>
          <w:szCs w:val="20"/>
          <w:lang w:val="en-GB"/>
        </w:rPr>
        <w:t>YES</w:t>
      </w:r>
      <w:r w:rsidR="00446126" w:rsidRPr="00AC5EB3">
        <w:rPr>
          <w:rFonts w:ascii="Times New Roman" w:hAnsi="Times New Roman"/>
          <w:b/>
          <w:bCs/>
          <w:sz w:val="20"/>
          <w:szCs w:val="20"/>
          <w:lang w:val="en-GB"/>
        </w:rPr>
        <w:t xml:space="preserve">: </w:t>
      </w:r>
      <w:r w:rsidR="00B64136">
        <w:rPr>
          <w:rFonts w:ascii="Times New Roman" w:hAnsi="Times New Roman"/>
          <w:sz w:val="20"/>
          <w:szCs w:val="20"/>
          <w:lang w:val="en-GB"/>
        </w:rPr>
        <w:t xml:space="preserve">E. </w:t>
      </w:r>
      <w:r w:rsidR="00B64136" w:rsidRPr="00B64136">
        <w:rPr>
          <w:rFonts w:ascii="Times New Roman" w:hAnsi="Times New Roman"/>
          <w:sz w:val="20"/>
          <w:szCs w:val="20"/>
          <w:lang w:val="en-GB"/>
        </w:rPr>
        <w:t xml:space="preserve">Donger, </w:t>
      </w:r>
      <w:hyperlink r:id="rId6" w:history="1">
        <w:r w:rsidR="00B64136" w:rsidRPr="00B64136">
          <w:rPr>
            <w:rStyle w:val="Collegamentoipertestuale"/>
            <w:rFonts w:ascii="Times New Roman" w:hAnsi="Times New Roman"/>
            <w:i/>
            <w:iCs/>
            <w:sz w:val="20"/>
            <w:szCs w:val="20"/>
            <w:lang w:val="en-GB"/>
          </w:rPr>
          <w:t>Lessons on “Adaptation Litigation” from the Global South</w:t>
        </w:r>
      </w:hyperlink>
      <w:r w:rsidR="00B64136" w:rsidRPr="00B64136">
        <w:rPr>
          <w:rFonts w:ascii="Times New Roman" w:hAnsi="Times New Roman"/>
          <w:sz w:val="20"/>
          <w:szCs w:val="20"/>
          <w:lang w:val="en-GB"/>
        </w:rPr>
        <w:t xml:space="preserve">, in </w:t>
      </w:r>
      <w:proofErr w:type="spellStart"/>
      <w:r w:rsidR="00B64136" w:rsidRPr="00B64136">
        <w:rPr>
          <w:rFonts w:ascii="Times New Roman" w:hAnsi="Times New Roman"/>
          <w:i/>
          <w:iCs/>
          <w:sz w:val="20"/>
          <w:szCs w:val="20"/>
          <w:lang w:val="en-GB"/>
        </w:rPr>
        <w:t>Verfassungsblog</w:t>
      </w:r>
      <w:proofErr w:type="spellEnd"/>
      <w:r w:rsidR="00B64136" w:rsidRPr="00B64136">
        <w:rPr>
          <w:rFonts w:ascii="Times New Roman" w:hAnsi="Times New Roman"/>
          <w:sz w:val="20"/>
          <w:szCs w:val="20"/>
          <w:lang w:val="en-GB"/>
        </w:rPr>
        <w:t>, 22.3.2022</w:t>
      </w:r>
      <w:r w:rsidR="00B64136">
        <w:rPr>
          <w:rFonts w:ascii="Times New Roman" w:hAnsi="Times New Roman"/>
          <w:sz w:val="20"/>
          <w:szCs w:val="20"/>
          <w:lang w:val="en-GB"/>
        </w:rPr>
        <w:t>.</w:t>
      </w:r>
    </w:p>
    <w:sectPr w:rsidR="00EB45D3" w:rsidRPr="00AC5EB3" w:rsidSect="005F1CD8">
      <w:pgSz w:w="11900" w:h="16840"/>
      <w:pgMar w:top="1417" w:right="112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7C30"/>
    <w:multiLevelType w:val="hybridMultilevel"/>
    <w:tmpl w:val="AD8C61A6"/>
    <w:lvl w:ilvl="0" w:tplc="0D8E83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E5A6F"/>
    <w:multiLevelType w:val="hybridMultilevel"/>
    <w:tmpl w:val="D4AC76CA"/>
    <w:lvl w:ilvl="0" w:tplc="1DA4841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94"/>
    <w:rsid w:val="000E1B60"/>
    <w:rsid w:val="000E48E8"/>
    <w:rsid w:val="0017356E"/>
    <w:rsid w:val="0017559B"/>
    <w:rsid w:val="00220BC5"/>
    <w:rsid w:val="00252110"/>
    <w:rsid w:val="00287B56"/>
    <w:rsid w:val="002A0349"/>
    <w:rsid w:val="003001D5"/>
    <w:rsid w:val="00427FD3"/>
    <w:rsid w:val="00446126"/>
    <w:rsid w:val="00511246"/>
    <w:rsid w:val="00525C12"/>
    <w:rsid w:val="00560238"/>
    <w:rsid w:val="005F1CD8"/>
    <w:rsid w:val="006D2D4C"/>
    <w:rsid w:val="006D43EA"/>
    <w:rsid w:val="007162E0"/>
    <w:rsid w:val="00734F8A"/>
    <w:rsid w:val="007B31B9"/>
    <w:rsid w:val="0083046B"/>
    <w:rsid w:val="00855389"/>
    <w:rsid w:val="008B75E3"/>
    <w:rsid w:val="008D78D5"/>
    <w:rsid w:val="008E5894"/>
    <w:rsid w:val="009266DF"/>
    <w:rsid w:val="00957832"/>
    <w:rsid w:val="00986C5E"/>
    <w:rsid w:val="009D40A5"/>
    <w:rsid w:val="009D6319"/>
    <w:rsid w:val="00A319C9"/>
    <w:rsid w:val="00A60A30"/>
    <w:rsid w:val="00A664FB"/>
    <w:rsid w:val="00A95932"/>
    <w:rsid w:val="00AC5EB3"/>
    <w:rsid w:val="00B1706B"/>
    <w:rsid w:val="00B45716"/>
    <w:rsid w:val="00B5049D"/>
    <w:rsid w:val="00B64136"/>
    <w:rsid w:val="00BB7B14"/>
    <w:rsid w:val="00BC0150"/>
    <w:rsid w:val="00C752E3"/>
    <w:rsid w:val="00CD63CD"/>
    <w:rsid w:val="00D1096F"/>
    <w:rsid w:val="00D544A3"/>
    <w:rsid w:val="00D62E86"/>
    <w:rsid w:val="00E046E7"/>
    <w:rsid w:val="00E47C93"/>
    <w:rsid w:val="00EB45D3"/>
    <w:rsid w:val="00EC317C"/>
    <w:rsid w:val="00EE029B"/>
    <w:rsid w:val="00EE477B"/>
    <w:rsid w:val="00F512D6"/>
    <w:rsid w:val="00F651B4"/>
    <w:rsid w:val="00F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540AC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5894"/>
    <w:pPr>
      <w:spacing w:after="200" w:line="276" w:lineRule="auto"/>
    </w:pPr>
    <w:rPr>
      <w:rFonts w:ascii="Calibri" w:eastAsia="Calibri" w:hAnsi="Calibri" w:cs="Times New Roman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12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C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F1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fassungsblog.de/lessons-on-adaptation-litigation-from-the-global-south/" TargetMode="External"/><Relationship Id="rId5" Type="http://schemas.openxmlformats.org/officeDocument/2006/relationships/hyperlink" Target="https://verfassungsblog.de/lessons-on-adaptation-litigation-from-the-global-sou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zirulia</dc:creator>
  <cp:keywords/>
  <dc:description/>
  <cp:lastModifiedBy>Stefano Zirulia</cp:lastModifiedBy>
  <cp:revision>21</cp:revision>
  <cp:lastPrinted>2020-10-16T12:59:00Z</cp:lastPrinted>
  <dcterms:created xsi:type="dcterms:W3CDTF">2022-02-04T15:20:00Z</dcterms:created>
  <dcterms:modified xsi:type="dcterms:W3CDTF">2022-03-29T17:16:00Z</dcterms:modified>
</cp:coreProperties>
</file>